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BF9" w:rsidRDefault="009345B0" w:rsidP="00946BF9">
      <w:pPr>
        <w:jc w:val="center"/>
        <w:rPr>
          <w:b/>
          <w:u w:val="single"/>
        </w:rPr>
      </w:pPr>
      <w:r>
        <w:rPr>
          <w:b/>
          <w:u w:val="single"/>
        </w:rPr>
        <w:t>V2</w:t>
      </w:r>
    </w:p>
    <w:p w:rsidR="00946BF9" w:rsidRPr="00AB1117" w:rsidRDefault="00946BF9" w:rsidP="00946BF9">
      <w:pPr>
        <w:jc w:val="center"/>
        <w:rPr>
          <w:b/>
          <w:u w:val="single"/>
        </w:rPr>
      </w:pPr>
      <w:r w:rsidRPr="00AB1117">
        <w:rPr>
          <w:b/>
          <w:u w:val="single"/>
        </w:rPr>
        <w:t>Typologie des frais</w:t>
      </w:r>
    </w:p>
    <w:tbl>
      <w:tblPr>
        <w:tblStyle w:val="Grilledutableau"/>
        <w:tblW w:w="0" w:type="auto"/>
        <w:tblLook w:val="04A0"/>
      </w:tblPr>
      <w:tblGrid>
        <w:gridCol w:w="4361"/>
        <w:gridCol w:w="2410"/>
        <w:gridCol w:w="2441"/>
      </w:tblGrid>
      <w:tr w:rsidR="00946BF9" w:rsidRPr="00523ED1" w:rsidTr="00C41492">
        <w:tc>
          <w:tcPr>
            <w:tcW w:w="4361" w:type="dxa"/>
            <w:vAlign w:val="center"/>
          </w:tcPr>
          <w:p w:rsidR="00946BF9" w:rsidRPr="00523ED1" w:rsidRDefault="00946BF9" w:rsidP="00ED04E7">
            <w:pPr>
              <w:rPr>
                <w:b/>
              </w:rPr>
            </w:pPr>
            <w:r w:rsidRPr="00523ED1">
              <w:rPr>
                <w:b/>
              </w:rPr>
              <w:t>Frais ponctuels (années de souscription)</w:t>
            </w:r>
          </w:p>
        </w:tc>
        <w:tc>
          <w:tcPr>
            <w:tcW w:w="2410" w:type="dxa"/>
            <w:vAlign w:val="center"/>
          </w:tcPr>
          <w:p w:rsidR="00946BF9" w:rsidRPr="00523ED1" w:rsidRDefault="00946BF9" w:rsidP="00ED04E7">
            <w:pPr>
              <w:jc w:val="center"/>
              <w:rPr>
                <w:b/>
              </w:rPr>
            </w:pPr>
            <w:r w:rsidRPr="00523ED1">
              <w:rPr>
                <w:b/>
              </w:rPr>
              <w:t>Taux</w:t>
            </w:r>
          </w:p>
        </w:tc>
        <w:tc>
          <w:tcPr>
            <w:tcW w:w="2441" w:type="dxa"/>
            <w:vAlign w:val="center"/>
          </w:tcPr>
          <w:p w:rsidR="00946BF9" w:rsidRPr="00523ED1" w:rsidRDefault="00946BF9" w:rsidP="00ED04E7">
            <w:pPr>
              <w:rPr>
                <w:b/>
              </w:rPr>
            </w:pPr>
            <w:r w:rsidRPr="00523ED1">
              <w:rPr>
                <w:b/>
              </w:rPr>
              <w:t>Assiette</w:t>
            </w:r>
          </w:p>
        </w:tc>
      </w:tr>
      <w:tr w:rsidR="00946BF9" w:rsidTr="00C41492">
        <w:tc>
          <w:tcPr>
            <w:tcW w:w="4361" w:type="dxa"/>
            <w:vAlign w:val="center"/>
          </w:tcPr>
          <w:p w:rsidR="00946BF9" w:rsidRDefault="00946BF9" w:rsidP="00ED04E7">
            <w:r>
              <w:t xml:space="preserve">Droits d’entrée et/ou sortie </w:t>
            </w:r>
          </w:p>
        </w:tc>
        <w:tc>
          <w:tcPr>
            <w:tcW w:w="2410" w:type="dxa"/>
            <w:vAlign w:val="center"/>
          </w:tcPr>
          <w:p w:rsidR="00946BF9" w:rsidRDefault="00946BF9" w:rsidP="00ED04E7">
            <w:pPr>
              <w:jc w:val="center"/>
            </w:pPr>
            <w:r>
              <w:t>0%</w:t>
            </w:r>
          </w:p>
        </w:tc>
        <w:tc>
          <w:tcPr>
            <w:tcW w:w="2441" w:type="dxa"/>
            <w:vAlign w:val="center"/>
          </w:tcPr>
          <w:p w:rsidR="00946BF9" w:rsidRDefault="00946BF9" w:rsidP="00ED04E7"/>
        </w:tc>
      </w:tr>
      <w:tr w:rsidR="00946BF9" w:rsidTr="00C41492">
        <w:tc>
          <w:tcPr>
            <w:tcW w:w="4361" w:type="dxa"/>
            <w:vAlign w:val="center"/>
          </w:tcPr>
          <w:p w:rsidR="00946BF9" w:rsidRDefault="00946BF9" w:rsidP="00ED04E7">
            <w:r>
              <w:t>Frais de constitution (1)</w:t>
            </w:r>
          </w:p>
        </w:tc>
        <w:tc>
          <w:tcPr>
            <w:tcW w:w="2410" w:type="dxa"/>
            <w:vAlign w:val="center"/>
          </w:tcPr>
          <w:p w:rsidR="00946BF9" w:rsidRDefault="00DD5DC7" w:rsidP="00DD5DC7">
            <w:pPr>
              <w:jc w:val="center"/>
            </w:pPr>
            <w:r>
              <w:t>1,00</w:t>
            </w:r>
            <w:r w:rsidR="00946BF9">
              <w:t>%</w:t>
            </w:r>
            <w:r>
              <w:t xml:space="preserve"> HT max</w:t>
            </w:r>
            <w:r w:rsidR="00B825DC">
              <w:t>imum</w:t>
            </w:r>
          </w:p>
        </w:tc>
        <w:tc>
          <w:tcPr>
            <w:tcW w:w="2441" w:type="dxa"/>
            <w:vAlign w:val="center"/>
          </w:tcPr>
          <w:p w:rsidR="00946BF9" w:rsidRDefault="00946BF9" w:rsidP="00ED04E7">
            <w:r>
              <w:t>Montant des souscriptions</w:t>
            </w:r>
          </w:p>
        </w:tc>
      </w:tr>
      <w:tr w:rsidR="00946BF9" w:rsidTr="00C41492">
        <w:tc>
          <w:tcPr>
            <w:tcW w:w="4361" w:type="dxa"/>
            <w:vAlign w:val="center"/>
          </w:tcPr>
          <w:p w:rsidR="00946BF9" w:rsidRDefault="00946BF9" w:rsidP="00ED04E7">
            <w:r>
              <w:t xml:space="preserve">Frais de communication (2) </w:t>
            </w:r>
          </w:p>
        </w:tc>
        <w:tc>
          <w:tcPr>
            <w:tcW w:w="2410" w:type="dxa"/>
            <w:vAlign w:val="center"/>
          </w:tcPr>
          <w:p w:rsidR="00946BF9" w:rsidRDefault="00946BF9" w:rsidP="00ED04E7">
            <w:pPr>
              <w:jc w:val="center"/>
            </w:pPr>
            <w:r>
              <w:t>2,50%</w:t>
            </w:r>
            <w:r w:rsidR="00DD5DC7">
              <w:t xml:space="preserve"> HT max</w:t>
            </w:r>
            <w:r w:rsidR="00B825DC">
              <w:t>imum</w:t>
            </w:r>
          </w:p>
        </w:tc>
        <w:tc>
          <w:tcPr>
            <w:tcW w:w="2441" w:type="dxa"/>
            <w:vAlign w:val="center"/>
          </w:tcPr>
          <w:p w:rsidR="00946BF9" w:rsidRDefault="00946BF9" w:rsidP="00ED04E7">
            <w:r>
              <w:t>Montant des souscriptions</w:t>
            </w:r>
          </w:p>
        </w:tc>
      </w:tr>
      <w:tr w:rsidR="00946BF9" w:rsidRPr="00A71677" w:rsidTr="00C41492">
        <w:tc>
          <w:tcPr>
            <w:tcW w:w="4361" w:type="dxa"/>
            <w:vAlign w:val="center"/>
          </w:tcPr>
          <w:p w:rsidR="00946BF9" w:rsidRPr="00A71677" w:rsidRDefault="00946BF9" w:rsidP="00ED04E7">
            <w:pPr>
              <w:rPr>
                <w:b/>
              </w:rPr>
            </w:pPr>
            <w:r w:rsidRPr="00A71677">
              <w:rPr>
                <w:b/>
              </w:rPr>
              <w:t>Totaux</w:t>
            </w:r>
          </w:p>
        </w:tc>
        <w:tc>
          <w:tcPr>
            <w:tcW w:w="2410" w:type="dxa"/>
            <w:vAlign w:val="center"/>
          </w:tcPr>
          <w:p w:rsidR="00946BF9" w:rsidRPr="00A71677" w:rsidRDefault="00946BF9" w:rsidP="00ED04E7">
            <w:pPr>
              <w:jc w:val="center"/>
              <w:rPr>
                <w:b/>
              </w:rPr>
            </w:pPr>
            <w:r w:rsidRPr="00A71677">
              <w:rPr>
                <w:b/>
              </w:rPr>
              <w:t>3</w:t>
            </w:r>
            <w:r w:rsidR="00B825DC">
              <w:rPr>
                <w:b/>
              </w:rPr>
              <w:t>,5</w:t>
            </w:r>
            <w:r>
              <w:rPr>
                <w:b/>
              </w:rPr>
              <w:t>0</w:t>
            </w:r>
            <w:r w:rsidRPr="00A71677">
              <w:rPr>
                <w:b/>
              </w:rPr>
              <w:t>%</w:t>
            </w:r>
            <w:r>
              <w:rPr>
                <w:b/>
              </w:rPr>
              <w:t xml:space="preserve"> </w:t>
            </w:r>
            <w:r w:rsidR="00DD5DC7">
              <w:rPr>
                <w:b/>
              </w:rPr>
              <w:t xml:space="preserve">HT </w:t>
            </w:r>
            <w:r>
              <w:rPr>
                <w:b/>
              </w:rPr>
              <w:t>max</w:t>
            </w:r>
            <w:r w:rsidR="00B825DC">
              <w:rPr>
                <w:b/>
              </w:rPr>
              <w:t>imum</w:t>
            </w:r>
          </w:p>
        </w:tc>
        <w:tc>
          <w:tcPr>
            <w:tcW w:w="2441" w:type="dxa"/>
            <w:vAlign w:val="center"/>
          </w:tcPr>
          <w:p w:rsidR="00946BF9" w:rsidRPr="00A71677" w:rsidRDefault="00946BF9" w:rsidP="00ED04E7">
            <w:pPr>
              <w:rPr>
                <w:b/>
              </w:rPr>
            </w:pPr>
          </w:p>
        </w:tc>
      </w:tr>
    </w:tbl>
    <w:p w:rsidR="00946BF9" w:rsidRDefault="00946BF9" w:rsidP="00946BF9">
      <w:pPr>
        <w:autoSpaceDE w:val="0"/>
        <w:autoSpaceDN w:val="0"/>
        <w:adjustRightInd w:val="0"/>
        <w:spacing w:after="0" w:line="240" w:lineRule="auto"/>
        <w:rPr>
          <w:rFonts w:ascii="DIN-RegularItalic" w:hAnsi="DIN-RegularItalic" w:cs="DIN-RegularItalic"/>
          <w:i/>
          <w:iCs/>
          <w:sz w:val="14"/>
          <w:szCs w:val="14"/>
        </w:rPr>
      </w:pPr>
    </w:p>
    <w:tbl>
      <w:tblPr>
        <w:tblStyle w:val="Grilledutableau"/>
        <w:tblW w:w="0" w:type="auto"/>
        <w:tblLook w:val="04A0"/>
      </w:tblPr>
      <w:tblGrid>
        <w:gridCol w:w="4336"/>
        <w:gridCol w:w="2435"/>
        <w:gridCol w:w="2517"/>
      </w:tblGrid>
      <w:tr w:rsidR="00946BF9" w:rsidRPr="00523ED1" w:rsidTr="00ED04E7">
        <w:tc>
          <w:tcPr>
            <w:tcW w:w="4336" w:type="dxa"/>
            <w:vAlign w:val="center"/>
          </w:tcPr>
          <w:p w:rsidR="00946BF9" w:rsidRPr="00523ED1" w:rsidRDefault="00946BF9" w:rsidP="00ED04E7">
            <w:pPr>
              <w:rPr>
                <w:b/>
              </w:rPr>
            </w:pPr>
            <w:r w:rsidRPr="00523ED1">
              <w:rPr>
                <w:b/>
              </w:rPr>
              <w:t>Frais annuels</w:t>
            </w:r>
          </w:p>
        </w:tc>
        <w:tc>
          <w:tcPr>
            <w:tcW w:w="2435" w:type="dxa"/>
            <w:vAlign w:val="center"/>
          </w:tcPr>
          <w:p w:rsidR="00946BF9" w:rsidRPr="00523ED1" w:rsidRDefault="00946BF9" w:rsidP="00ED04E7">
            <w:pPr>
              <w:jc w:val="center"/>
              <w:rPr>
                <w:b/>
              </w:rPr>
            </w:pPr>
            <w:r w:rsidRPr="00523ED1">
              <w:rPr>
                <w:b/>
              </w:rPr>
              <w:t>Taux</w:t>
            </w:r>
          </w:p>
        </w:tc>
        <w:tc>
          <w:tcPr>
            <w:tcW w:w="2517" w:type="dxa"/>
            <w:vAlign w:val="center"/>
          </w:tcPr>
          <w:p w:rsidR="00946BF9" w:rsidRPr="00523ED1" w:rsidRDefault="00946BF9" w:rsidP="00ED04E7">
            <w:pPr>
              <w:rPr>
                <w:b/>
              </w:rPr>
            </w:pPr>
            <w:r w:rsidRPr="00523ED1">
              <w:rPr>
                <w:b/>
              </w:rPr>
              <w:t>Assiette</w:t>
            </w:r>
          </w:p>
        </w:tc>
      </w:tr>
      <w:tr w:rsidR="00946BF9" w:rsidTr="00ED04E7">
        <w:tc>
          <w:tcPr>
            <w:tcW w:w="4336" w:type="dxa"/>
            <w:vAlign w:val="center"/>
          </w:tcPr>
          <w:p w:rsidR="00946BF9" w:rsidRDefault="00946BF9" w:rsidP="00ED04E7">
            <w:r>
              <w:t>Frais récurrents de gestion et de fonctionnement (3)</w:t>
            </w:r>
          </w:p>
        </w:tc>
        <w:tc>
          <w:tcPr>
            <w:tcW w:w="2435" w:type="dxa"/>
            <w:vAlign w:val="center"/>
          </w:tcPr>
          <w:p w:rsidR="00946BF9" w:rsidRDefault="00946BF9" w:rsidP="00ED04E7">
            <w:pPr>
              <w:jc w:val="center"/>
            </w:pPr>
            <w:r>
              <w:t>30.000€</w:t>
            </w:r>
            <w:r w:rsidR="00DD5DC7">
              <w:t xml:space="preserve"> HT</w:t>
            </w:r>
            <w:r w:rsidR="00B825DC">
              <w:t xml:space="preserve"> minimum</w:t>
            </w:r>
          </w:p>
          <w:p w:rsidR="00946BF9" w:rsidRDefault="00C41492" w:rsidP="00ED04E7">
            <w:pPr>
              <w:jc w:val="center"/>
            </w:pPr>
            <w:r>
              <w:t>1,3</w:t>
            </w:r>
            <w:r w:rsidR="00946BF9">
              <w:t>0%</w:t>
            </w:r>
            <w:r w:rsidR="00DD5DC7">
              <w:t xml:space="preserve"> HT</w:t>
            </w:r>
            <w:r w:rsidR="00B825DC">
              <w:t xml:space="preserve"> maximum</w:t>
            </w:r>
          </w:p>
        </w:tc>
        <w:tc>
          <w:tcPr>
            <w:tcW w:w="2517" w:type="dxa"/>
            <w:vAlign w:val="center"/>
          </w:tcPr>
          <w:p w:rsidR="00946BF9" w:rsidRDefault="00946BF9" w:rsidP="00ED04E7">
            <w:r>
              <w:t>Actif net</w:t>
            </w:r>
          </w:p>
        </w:tc>
      </w:tr>
      <w:tr w:rsidR="00946BF9" w:rsidTr="00ED04E7">
        <w:tc>
          <w:tcPr>
            <w:tcW w:w="4336" w:type="dxa"/>
            <w:vAlign w:val="center"/>
          </w:tcPr>
          <w:p w:rsidR="00946BF9" w:rsidRDefault="00946BF9" w:rsidP="00ED04E7">
            <w:r>
              <w:t>Frais liés aux investissements (4)</w:t>
            </w:r>
          </w:p>
        </w:tc>
        <w:tc>
          <w:tcPr>
            <w:tcW w:w="2435" w:type="dxa"/>
            <w:vAlign w:val="center"/>
          </w:tcPr>
          <w:p w:rsidR="00946BF9" w:rsidRDefault="00946BF9" w:rsidP="00ED04E7">
            <w:pPr>
              <w:jc w:val="center"/>
            </w:pPr>
            <w:r>
              <w:t>0,50%</w:t>
            </w:r>
            <w:r w:rsidR="00DD5DC7">
              <w:t xml:space="preserve"> HT max</w:t>
            </w:r>
            <w:r w:rsidR="00B825DC">
              <w:t>imum</w:t>
            </w:r>
          </w:p>
        </w:tc>
        <w:tc>
          <w:tcPr>
            <w:tcW w:w="2517" w:type="dxa"/>
            <w:vAlign w:val="center"/>
          </w:tcPr>
          <w:p w:rsidR="00946BF9" w:rsidRDefault="00946BF9" w:rsidP="00ED04E7">
            <w:r>
              <w:t>Actif net</w:t>
            </w:r>
          </w:p>
        </w:tc>
      </w:tr>
      <w:tr w:rsidR="00946BF9" w:rsidTr="00ED04E7">
        <w:tc>
          <w:tcPr>
            <w:tcW w:w="4336" w:type="dxa"/>
            <w:vAlign w:val="center"/>
          </w:tcPr>
          <w:p w:rsidR="00946BF9" w:rsidRDefault="00946BF9" w:rsidP="00ED04E7">
            <w:r>
              <w:t>Frais d’abonnement de conseil juridique et fiscal</w:t>
            </w:r>
          </w:p>
        </w:tc>
        <w:tc>
          <w:tcPr>
            <w:tcW w:w="2435" w:type="dxa"/>
            <w:vAlign w:val="center"/>
          </w:tcPr>
          <w:p w:rsidR="00946BF9" w:rsidRDefault="00946BF9" w:rsidP="00ED04E7">
            <w:pPr>
              <w:jc w:val="center"/>
            </w:pPr>
            <w:r>
              <w:t>0,10%</w:t>
            </w:r>
            <w:r w:rsidR="00DD5DC7">
              <w:t xml:space="preserve"> HT max</w:t>
            </w:r>
            <w:r w:rsidR="00B825DC">
              <w:t>imum</w:t>
            </w:r>
          </w:p>
        </w:tc>
        <w:tc>
          <w:tcPr>
            <w:tcW w:w="2517" w:type="dxa"/>
            <w:vAlign w:val="center"/>
          </w:tcPr>
          <w:p w:rsidR="00946BF9" w:rsidRDefault="00946BF9" w:rsidP="00ED04E7">
            <w:r>
              <w:t>Actif net</w:t>
            </w:r>
          </w:p>
        </w:tc>
      </w:tr>
      <w:tr w:rsidR="00946BF9" w:rsidTr="00ED04E7">
        <w:tc>
          <w:tcPr>
            <w:tcW w:w="4336" w:type="dxa"/>
            <w:vAlign w:val="center"/>
          </w:tcPr>
          <w:p w:rsidR="00946BF9" w:rsidRDefault="00946BF9" w:rsidP="00ED04E7">
            <w:r>
              <w:t>Frais relatifs à l’information des actionnaires (5)</w:t>
            </w:r>
          </w:p>
        </w:tc>
        <w:tc>
          <w:tcPr>
            <w:tcW w:w="2435" w:type="dxa"/>
            <w:vAlign w:val="center"/>
          </w:tcPr>
          <w:p w:rsidR="00946BF9" w:rsidRDefault="00946BF9" w:rsidP="00ED04E7">
            <w:pPr>
              <w:jc w:val="center"/>
            </w:pPr>
            <w:r>
              <w:t>1,00%</w:t>
            </w:r>
            <w:r w:rsidR="00DD5DC7">
              <w:t xml:space="preserve"> </w:t>
            </w:r>
            <w:r w:rsidR="00B825DC">
              <w:t xml:space="preserve">HT </w:t>
            </w:r>
            <w:r w:rsidR="00DD5DC7">
              <w:t>max</w:t>
            </w:r>
            <w:r w:rsidR="00B825DC">
              <w:t>imum</w:t>
            </w:r>
          </w:p>
        </w:tc>
        <w:tc>
          <w:tcPr>
            <w:tcW w:w="2517" w:type="dxa"/>
            <w:vAlign w:val="center"/>
          </w:tcPr>
          <w:p w:rsidR="00946BF9" w:rsidRDefault="00946BF9" w:rsidP="00ED04E7">
            <w:r>
              <w:t>Actif net</w:t>
            </w:r>
          </w:p>
        </w:tc>
      </w:tr>
      <w:tr w:rsidR="00946BF9" w:rsidRPr="00A71677" w:rsidTr="00ED04E7">
        <w:tc>
          <w:tcPr>
            <w:tcW w:w="4336" w:type="dxa"/>
            <w:vAlign w:val="center"/>
          </w:tcPr>
          <w:p w:rsidR="00946BF9" w:rsidRPr="00A71677" w:rsidRDefault="00946BF9" w:rsidP="00ED04E7">
            <w:pPr>
              <w:rPr>
                <w:b/>
              </w:rPr>
            </w:pPr>
            <w:r w:rsidRPr="00A71677">
              <w:rPr>
                <w:b/>
              </w:rPr>
              <w:t>Totaux</w:t>
            </w:r>
          </w:p>
        </w:tc>
        <w:tc>
          <w:tcPr>
            <w:tcW w:w="2435" w:type="dxa"/>
            <w:vAlign w:val="center"/>
          </w:tcPr>
          <w:p w:rsidR="00946BF9" w:rsidRPr="00A71677" w:rsidRDefault="00C41492" w:rsidP="00ED04E7">
            <w:pPr>
              <w:jc w:val="center"/>
              <w:rPr>
                <w:b/>
              </w:rPr>
            </w:pPr>
            <w:r>
              <w:rPr>
                <w:b/>
              </w:rPr>
              <w:t>2,9</w:t>
            </w:r>
            <w:r w:rsidR="00946BF9" w:rsidRPr="00A71677">
              <w:rPr>
                <w:b/>
              </w:rPr>
              <w:t>0%</w:t>
            </w:r>
            <w:r w:rsidR="00946BF9">
              <w:rPr>
                <w:b/>
              </w:rPr>
              <w:t xml:space="preserve"> </w:t>
            </w:r>
            <w:r w:rsidR="00B825DC">
              <w:rPr>
                <w:b/>
              </w:rPr>
              <w:t xml:space="preserve">HT </w:t>
            </w:r>
            <w:r w:rsidR="00946BF9">
              <w:rPr>
                <w:b/>
              </w:rPr>
              <w:t>max</w:t>
            </w:r>
            <w:r w:rsidR="00B825DC">
              <w:rPr>
                <w:b/>
              </w:rPr>
              <w:t>imum</w:t>
            </w:r>
          </w:p>
        </w:tc>
        <w:tc>
          <w:tcPr>
            <w:tcW w:w="2517" w:type="dxa"/>
            <w:vAlign w:val="center"/>
          </w:tcPr>
          <w:p w:rsidR="00946BF9" w:rsidRPr="00A71677" w:rsidRDefault="00946BF9" w:rsidP="00ED04E7">
            <w:pPr>
              <w:rPr>
                <w:b/>
              </w:rPr>
            </w:pPr>
          </w:p>
        </w:tc>
      </w:tr>
    </w:tbl>
    <w:p w:rsidR="00946BF9" w:rsidRDefault="00946BF9" w:rsidP="00946BF9"/>
    <w:p w:rsidR="00946BF9" w:rsidRPr="000A0A60" w:rsidRDefault="00946BF9" w:rsidP="00946BF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DIN-RegularItalic" w:hAnsi="DIN-RegularItalic" w:cs="DIN-RegularItalic"/>
          <w:i/>
          <w:iCs/>
          <w:sz w:val="18"/>
          <w:szCs w:val="14"/>
        </w:rPr>
      </w:pPr>
      <w:r w:rsidRPr="000A0A60">
        <w:rPr>
          <w:rFonts w:ascii="DIN-RegularItalic" w:hAnsi="DIN-RegularItalic" w:cs="DIN-RegularItalic"/>
          <w:i/>
          <w:iCs/>
          <w:sz w:val="18"/>
          <w:szCs w:val="14"/>
        </w:rPr>
        <w:t xml:space="preserve">Les frais de constitution de la société correspondent aux frais et charges supportés </w:t>
      </w:r>
      <w:r w:rsidR="00B825DC">
        <w:rPr>
          <w:rFonts w:ascii="DIN-RegularItalic" w:hAnsi="DIN-RegularItalic" w:cs="DIN-RegularItalic"/>
          <w:i/>
          <w:iCs/>
          <w:sz w:val="18"/>
          <w:szCs w:val="14"/>
        </w:rPr>
        <w:t xml:space="preserve">par </w:t>
      </w:r>
      <w:r w:rsidRPr="000A0A60">
        <w:rPr>
          <w:rFonts w:ascii="DIN-RegularItalic" w:hAnsi="DIN-RegularItalic" w:cs="DIN-RegularItalic"/>
          <w:i/>
          <w:iCs/>
          <w:sz w:val="18"/>
          <w:szCs w:val="14"/>
        </w:rPr>
        <w:t xml:space="preserve">la société </w:t>
      </w:r>
      <w:r>
        <w:rPr>
          <w:rFonts w:ascii="DIN-RegularItalic" w:hAnsi="DIN-RegularItalic" w:cs="DIN-RegularItalic"/>
          <w:i/>
          <w:iCs/>
          <w:sz w:val="18"/>
          <w:szCs w:val="14"/>
        </w:rPr>
        <w:t>pour s</w:t>
      </w:r>
      <w:r w:rsidRPr="000A0A60">
        <w:rPr>
          <w:rFonts w:ascii="DIN-RegularItalic" w:hAnsi="DIN-RegularItalic" w:cs="DIN-RegularItalic"/>
          <w:i/>
          <w:iCs/>
          <w:sz w:val="18"/>
          <w:szCs w:val="14"/>
        </w:rPr>
        <w:t>a création</w:t>
      </w:r>
      <w:r>
        <w:rPr>
          <w:rFonts w:ascii="DIN-RegularItalic" w:hAnsi="DIN-RegularItalic" w:cs="DIN-RegularItalic"/>
          <w:i/>
          <w:iCs/>
          <w:sz w:val="18"/>
          <w:szCs w:val="14"/>
        </w:rPr>
        <w:t xml:space="preserve"> (frais d’avocat, de parution, de conseils etc.)</w:t>
      </w:r>
    </w:p>
    <w:p w:rsidR="00946BF9" w:rsidRDefault="00946BF9" w:rsidP="00946BF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DIN-RegularItalic" w:hAnsi="DIN-RegularItalic" w:cs="DIN-RegularItalic"/>
          <w:i/>
          <w:iCs/>
          <w:sz w:val="18"/>
          <w:szCs w:val="14"/>
        </w:rPr>
      </w:pPr>
      <w:r>
        <w:rPr>
          <w:rFonts w:ascii="DIN-RegularItalic" w:hAnsi="DIN-RegularItalic" w:cs="DIN-RegularItalic"/>
          <w:i/>
          <w:iCs/>
          <w:sz w:val="18"/>
          <w:szCs w:val="14"/>
        </w:rPr>
        <w:t>Les frais de communication correspondent à</w:t>
      </w:r>
      <w:r w:rsidRPr="000A0A60">
        <w:rPr>
          <w:rFonts w:ascii="DIN-RegularItalic" w:hAnsi="DIN-RegularItalic" w:cs="DIN-RegularItalic"/>
          <w:i/>
          <w:iCs/>
          <w:sz w:val="18"/>
          <w:szCs w:val="14"/>
        </w:rPr>
        <w:t xml:space="preserve"> la promotion de la société (frais </w:t>
      </w:r>
      <w:r>
        <w:rPr>
          <w:rFonts w:ascii="DIN-RegularItalic" w:hAnsi="DIN-RegularItalic" w:cs="DIN-RegularItalic"/>
          <w:i/>
          <w:iCs/>
          <w:sz w:val="18"/>
          <w:szCs w:val="14"/>
        </w:rPr>
        <w:t>marketing</w:t>
      </w:r>
      <w:r w:rsidRPr="000A0A60">
        <w:rPr>
          <w:rFonts w:ascii="DIN-RegularItalic" w:hAnsi="DIN-RegularItalic" w:cs="DIN-RegularItalic"/>
          <w:i/>
          <w:iCs/>
          <w:sz w:val="18"/>
          <w:szCs w:val="14"/>
        </w:rPr>
        <w:t xml:space="preserve">, frais de </w:t>
      </w:r>
      <w:r>
        <w:rPr>
          <w:rFonts w:ascii="DIN-RegularItalic" w:hAnsi="DIN-RegularItalic" w:cs="DIN-RegularItalic"/>
          <w:i/>
          <w:iCs/>
          <w:sz w:val="18"/>
          <w:szCs w:val="14"/>
        </w:rPr>
        <w:t>publicité, etc.)</w:t>
      </w:r>
    </w:p>
    <w:p w:rsidR="00946BF9" w:rsidRDefault="00946BF9" w:rsidP="00946BF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DIN-RegularItalic" w:hAnsi="DIN-RegularItalic" w:cs="DIN-RegularItalic"/>
          <w:i/>
          <w:iCs/>
          <w:sz w:val="18"/>
          <w:szCs w:val="14"/>
        </w:rPr>
      </w:pPr>
      <w:r w:rsidRPr="000A0A60">
        <w:rPr>
          <w:rFonts w:ascii="DIN-RegularItalic" w:hAnsi="DIN-RegularItalic" w:cs="DIN-RegularItalic"/>
          <w:i/>
          <w:iCs/>
          <w:sz w:val="18"/>
          <w:szCs w:val="14"/>
        </w:rPr>
        <w:t>Les frais récurrents de gestion et de fonctionnement comprennent notamment la rémunération de la Présidence (gestionnaire</w:t>
      </w:r>
      <w:r w:rsidR="00DD5DC7">
        <w:rPr>
          <w:rFonts w:ascii="DIN-RegularItalic" w:hAnsi="DIN-RegularItalic" w:cs="DIN-RegularItalic"/>
          <w:i/>
          <w:iCs/>
          <w:sz w:val="18"/>
          <w:szCs w:val="14"/>
        </w:rPr>
        <w:t>, dont la rémunération est variable et dégressive</w:t>
      </w:r>
      <w:r w:rsidRPr="000A0A60">
        <w:rPr>
          <w:rFonts w:ascii="DIN-RegularItalic" w:hAnsi="DIN-RegularItalic" w:cs="DIN-RegularItalic"/>
          <w:i/>
          <w:iCs/>
          <w:sz w:val="18"/>
          <w:szCs w:val="14"/>
        </w:rPr>
        <w:t xml:space="preserve">), ils intègrent également les frais de comptabilité et des commissaires aux comptes, etc. </w:t>
      </w:r>
    </w:p>
    <w:p w:rsidR="00946BF9" w:rsidRDefault="00946BF9" w:rsidP="00946BF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DIN-RegularItalic" w:hAnsi="DIN-RegularItalic" w:cs="DIN-RegularItalic"/>
          <w:i/>
          <w:iCs/>
          <w:sz w:val="18"/>
          <w:szCs w:val="14"/>
        </w:rPr>
      </w:pPr>
      <w:r w:rsidRPr="000A0A60">
        <w:rPr>
          <w:rFonts w:ascii="DIN-RegularItalic" w:hAnsi="DIN-RegularItalic" w:cs="DIN-RegularItalic"/>
          <w:i/>
          <w:iCs/>
          <w:sz w:val="18"/>
          <w:szCs w:val="14"/>
        </w:rPr>
        <w:t>Les frais de fonctionnement liés aux investissements sont tous les frais liés aux activités d’investissement de la société. Ces frais recouvrent les frais et honoraires d’audit, d’études et de conseils</w:t>
      </w:r>
      <w:r w:rsidR="00DD5DC7">
        <w:rPr>
          <w:rFonts w:ascii="DIN-RegularItalic" w:hAnsi="DIN-RegularItalic" w:cs="DIN-RegularItalic"/>
          <w:i/>
          <w:iCs/>
          <w:sz w:val="18"/>
          <w:szCs w:val="14"/>
        </w:rPr>
        <w:t xml:space="preserve">, droits d’enregistrement </w:t>
      </w:r>
      <w:r w:rsidRPr="000A0A60">
        <w:rPr>
          <w:rFonts w:ascii="DIN-RegularItalic" w:hAnsi="DIN-RegularItalic" w:cs="DIN-RegularItalic"/>
          <w:i/>
          <w:iCs/>
          <w:sz w:val="18"/>
          <w:szCs w:val="14"/>
        </w:rPr>
        <w:t>relatifs à l’acquisition, la cession de titres et au suivi des participations, etc.</w:t>
      </w:r>
    </w:p>
    <w:p w:rsidR="00946BF9" w:rsidRDefault="00946BF9" w:rsidP="00946BF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DIN-RegularItalic" w:hAnsi="DIN-RegularItalic" w:cs="DIN-RegularItalic"/>
          <w:i/>
          <w:iCs/>
          <w:sz w:val="18"/>
          <w:szCs w:val="14"/>
        </w:rPr>
      </w:pPr>
      <w:r>
        <w:rPr>
          <w:rFonts w:ascii="DIN-RegularItalic" w:hAnsi="DIN-RegularItalic" w:cs="DIN-RegularItalic"/>
          <w:i/>
          <w:iCs/>
          <w:sz w:val="18"/>
          <w:szCs w:val="14"/>
        </w:rPr>
        <w:t xml:space="preserve">Les frais relatifs à l’information des actionnaires sont occasionnés pour le reporting de l’information </w:t>
      </w:r>
      <w:r w:rsidR="00AC0423">
        <w:rPr>
          <w:rFonts w:ascii="DIN-RegularItalic" w:hAnsi="DIN-RegularItalic" w:cs="DIN-RegularItalic"/>
          <w:i/>
          <w:iCs/>
          <w:sz w:val="18"/>
          <w:szCs w:val="14"/>
        </w:rPr>
        <w:t xml:space="preserve">semestrielle </w:t>
      </w:r>
      <w:r>
        <w:rPr>
          <w:rFonts w:ascii="DIN-RegularItalic" w:hAnsi="DIN-RegularItalic" w:cs="DIN-RegularItalic"/>
          <w:i/>
          <w:iCs/>
          <w:sz w:val="18"/>
          <w:szCs w:val="14"/>
        </w:rPr>
        <w:t>des actionnaires de la société. Ils sont attribués à la présidence qui pourra l’affecter, le cas échéants, à des sous-traitants. Ils représentent 1%</w:t>
      </w:r>
      <w:r w:rsidR="006F5068">
        <w:rPr>
          <w:rFonts w:ascii="DIN-RegularItalic" w:hAnsi="DIN-RegularItalic" w:cs="DIN-RegularItalic"/>
          <w:i/>
          <w:iCs/>
          <w:sz w:val="18"/>
          <w:szCs w:val="14"/>
        </w:rPr>
        <w:t xml:space="preserve"> HT</w:t>
      </w:r>
      <w:r>
        <w:rPr>
          <w:rFonts w:ascii="DIN-RegularItalic" w:hAnsi="DIN-RegularItalic" w:cs="DIN-RegularItalic"/>
          <w:i/>
          <w:iCs/>
          <w:sz w:val="18"/>
          <w:szCs w:val="14"/>
        </w:rPr>
        <w:t xml:space="preserve"> </w:t>
      </w:r>
      <w:r w:rsidR="006F5068">
        <w:rPr>
          <w:rFonts w:ascii="DIN-RegularItalic" w:hAnsi="DIN-RegularItalic" w:cs="DIN-RegularItalic"/>
          <w:i/>
          <w:iCs/>
          <w:sz w:val="18"/>
          <w:szCs w:val="14"/>
        </w:rPr>
        <w:t xml:space="preserve">maximum </w:t>
      </w:r>
      <w:r>
        <w:rPr>
          <w:rFonts w:ascii="DIN-RegularItalic" w:hAnsi="DIN-RegularItalic" w:cs="DIN-RegularItalic"/>
          <w:i/>
          <w:iCs/>
          <w:sz w:val="18"/>
          <w:szCs w:val="14"/>
        </w:rPr>
        <w:t>de l’actif net sans toutefois dépasser le plafond de 5.000 €</w:t>
      </w:r>
      <w:r w:rsidR="006F5068">
        <w:rPr>
          <w:rFonts w:ascii="DIN-RegularItalic" w:hAnsi="DIN-RegularItalic" w:cs="DIN-RegularItalic"/>
          <w:i/>
          <w:iCs/>
          <w:sz w:val="18"/>
          <w:szCs w:val="14"/>
        </w:rPr>
        <w:t xml:space="preserve"> HT </w:t>
      </w:r>
      <w:r>
        <w:rPr>
          <w:rFonts w:ascii="DIN-RegularItalic" w:hAnsi="DIN-RegularItalic" w:cs="DIN-RegularItalic"/>
          <w:i/>
          <w:iCs/>
          <w:sz w:val="18"/>
          <w:szCs w:val="14"/>
        </w:rPr>
        <w:t>par actionnaire.</w:t>
      </w:r>
    </w:p>
    <w:sectPr w:rsidR="00946BF9" w:rsidSect="005719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IN-Regular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06C6A"/>
    <w:multiLevelType w:val="hybridMultilevel"/>
    <w:tmpl w:val="8F28709C"/>
    <w:lvl w:ilvl="0" w:tplc="4B882B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characterSpacingControl w:val="doNotCompress"/>
  <w:compat/>
  <w:rsids>
    <w:rsidRoot w:val="00946BF9"/>
    <w:rsid w:val="00082C3C"/>
    <w:rsid w:val="0027531E"/>
    <w:rsid w:val="00370CFB"/>
    <w:rsid w:val="00470E44"/>
    <w:rsid w:val="004A79FC"/>
    <w:rsid w:val="005600C0"/>
    <w:rsid w:val="005719D6"/>
    <w:rsid w:val="00665947"/>
    <w:rsid w:val="006F5068"/>
    <w:rsid w:val="009345B0"/>
    <w:rsid w:val="00946BF9"/>
    <w:rsid w:val="009B741A"/>
    <w:rsid w:val="00AC0423"/>
    <w:rsid w:val="00B825DC"/>
    <w:rsid w:val="00C41492"/>
    <w:rsid w:val="00DD5DC7"/>
    <w:rsid w:val="00EF3A8A"/>
    <w:rsid w:val="00F20EC2"/>
    <w:rsid w:val="00FD4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BF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46B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46B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Stéphane de Reynal</dc:creator>
  <cp:lastModifiedBy>RAM</cp:lastModifiedBy>
  <cp:revision>2</cp:revision>
  <cp:lastPrinted>2012-10-19T18:34:00Z</cp:lastPrinted>
  <dcterms:created xsi:type="dcterms:W3CDTF">2012-10-19T18:34:00Z</dcterms:created>
  <dcterms:modified xsi:type="dcterms:W3CDTF">2012-10-19T18:34:00Z</dcterms:modified>
</cp:coreProperties>
</file>